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中国上市公司协会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上市公司投资者关系管理最佳实践</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活动规则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一、总则</w:t>
      </w:r>
    </w:p>
    <w:p>
      <w:pPr>
        <w:adjustRightInd/>
        <w:snapToGrid/>
        <w:spacing w:line="360" w:lineRule="auto"/>
        <w:ind w:firstLine="640" w:firstLineChars="20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上市公司投资者关系管理最佳实践活动规则依据《上市公司投资者关系管理工作指引》及相关监管和自律管理规定制定。综合考虑上市公司在投资者关系管理的内容和方式、组织与实施方面的表现，包括但不限于上市公司投资者关系管理制度及团队建设、信息披露、与投资者互动交流、完成诉求处理，便利股东权利行使、增进投资者对公司的了解和认同、提升上市公司治理水平和企业整体价值，实现尊重投资者、回报投资者、保护投资者目的的相关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二、主观申报规则</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主观部分需公司主动填报，规则详见下表。</w:t>
      </w:r>
    </w:p>
    <w:tbl>
      <w:tblPr>
        <w:tblStyle w:val="4"/>
        <w:tblW w:w="83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00"/>
        <w:gridCol w:w="7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3" w:hRule="atLeast"/>
        </w:trPr>
        <w:tc>
          <w:tcPr>
            <w:tcW w:w="400" w:type="dxa"/>
            <w:tcBorders>
              <w:top w:val="single" w:color="000000" w:sz="8" w:space="0"/>
              <w:left w:val="single" w:color="000000" w:sz="8" w:space="0"/>
              <w:bottom w:val="single" w:color="000000" w:sz="8" w:space="0"/>
              <w:right w:val="single" w:color="000000" w:sz="8" w:space="0"/>
            </w:tcBorders>
            <w:shd w:val="clear" w:color="auto" w:fill="CFCECE"/>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color w:val="000000"/>
                <w:kern w:val="0"/>
                <w:sz w:val="32"/>
                <w:szCs w:val="32"/>
                <w:lang w:val="en-US" w:eastAsia="zh-CN"/>
              </w:rPr>
            </w:pPr>
          </w:p>
        </w:tc>
        <w:tc>
          <w:tcPr>
            <w:tcW w:w="7933" w:type="dxa"/>
            <w:tcBorders>
              <w:top w:val="single" w:color="000000" w:sz="8" w:space="0"/>
              <w:left w:val="single" w:color="000000" w:sz="8" w:space="0"/>
              <w:bottom w:val="single" w:color="000000" w:sz="8" w:space="0"/>
              <w:right w:val="single" w:color="000000" w:sz="8" w:space="0"/>
            </w:tcBorders>
            <w:shd w:val="clear" w:color="auto" w:fill="CFCECE"/>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color w:val="000000"/>
                <w:kern w:val="0"/>
                <w:sz w:val="32"/>
                <w:szCs w:val="32"/>
                <w:lang w:val="en-US" w:eastAsia="zh-CN"/>
              </w:rPr>
            </w:pPr>
            <w:r>
              <w:rPr>
                <w:rFonts w:hint="eastAsia" w:ascii="仿宋" w:hAnsi="仿宋" w:eastAsia="仿宋" w:cs="仿宋"/>
                <w:b/>
                <w:bCs/>
                <w:color w:val="000000"/>
                <w:kern w:val="0"/>
                <w:sz w:val="32"/>
                <w:szCs w:val="32"/>
                <w:lang w:val="en-US" w:eastAsia="zh-CN"/>
              </w:rPr>
              <w:t>上市公司投资者关系管理最佳实践活动</w:t>
            </w:r>
          </w:p>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bCs/>
                <w:color w:val="000000"/>
                <w:kern w:val="0"/>
                <w:sz w:val="32"/>
                <w:szCs w:val="32"/>
                <w:lang w:val="en-US" w:eastAsia="zh-CN"/>
              </w:rPr>
              <w:t>主观记分项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400" w:type="dxa"/>
            <w:tcBorders>
              <w:top w:val="single" w:color="000000" w:sz="8" w:space="0"/>
              <w:left w:val="single" w:color="000000" w:sz="8" w:space="0"/>
              <w:bottom w:val="single" w:color="000000" w:sz="8" w:space="0"/>
              <w:right w:val="single" w:color="000000" w:sz="8" w:space="0"/>
            </w:tcBorders>
            <w:shd w:val="clear" w:color="auto" w:fill="CFCECE"/>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b/>
                <w:i w:val="0"/>
                <w:color w:val="000000"/>
                <w:kern w:val="0"/>
                <w:sz w:val="28"/>
                <w:szCs w:val="28"/>
                <w:u w:val="none"/>
                <w:lang w:val="en-US" w:eastAsia="zh-CN" w:bidi="ar"/>
              </w:rPr>
            </w:pPr>
          </w:p>
        </w:tc>
        <w:tc>
          <w:tcPr>
            <w:tcW w:w="7933" w:type="dxa"/>
            <w:tcBorders>
              <w:top w:val="single" w:color="000000" w:sz="8" w:space="0"/>
              <w:left w:val="single" w:color="000000" w:sz="8" w:space="0"/>
              <w:bottom w:val="single" w:color="000000" w:sz="8" w:space="0"/>
              <w:right w:val="single" w:color="000000" w:sz="8" w:space="0"/>
            </w:tcBorders>
            <w:shd w:val="clear" w:color="auto" w:fill="CFCECE"/>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b/>
                <w:i w:val="0"/>
                <w:color w:val="000000"/>
                <w:kern w:val="0"/>
                <w:sz w:val="28"/>
                <w:szCs w:val="28"/>
                <w:u w:val="none"/>
                <w:lang w:val="en-US" w:eastAsia="zh-CN" w:bidi="ar"/>
              </w:rPr>
              <w:t>一、投资者关系管理团队建设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07" w:hRule="atLeast"/>
        </w:trPr>
        <w:tc>
          <w:tcPr>
            <w:tcW w:w="400" w:type="dxa"/>
            <w:tcBorders>
              <w:top w:val="single" w:color="000000" w:sz="8" w:space="0"/>
              <w:left w:val="single" w:color="000000" w:sz="8" w:space="0"/>
              <w:bottom w:val="single" w:color="000000" w:sz="8" w:space="0"/>
              <w:right w:val="single" w:color="000000" w:sz="8" w:space="0"/>
            </w:tcBorders>
            <w:shd w:val="clear" w:color="auto" w:fill="EDEDED"/>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8"/>
                <w:szCs w:val="28"/>
                <w:u w:val="none"/>
                <w:shd w:val="clear" w:color="auto" w:fill="auto"/>
                <w:lang w:val="en-US" w:eastAsia="zh-CN" w:bidi="ar"/>
              </w:rPr>
            </w:pPr>
            <w:r>
              <w:rPr>
                <w:rFonts w:hint="eastAsia" w:ascii="仿宋" w:hAnsi="仿宋" w:eastAsia="仿宋" w:cs="仿宋"/>
                <w:i w:val="0"/>
                <w:color w:val="000000"/>
                <w:kern w:val="0"/>
                <w:sz w:val="28"/>
                <w:szCs w:val="28"/>
                <w:u w:val="none"/>
                <w:shd w:val="clear" w:color="auto" w:fill="auto"/>
                <w:lang w:val="en-US" w:eastAsia="zh-CN" w:bidi="ar"/>
              </w:rPr>
              <w:t>1</w:t>
            </w:r>
          </w:p>
        </w:tc>
        <w:tc>
          <w:tcPr>
            <w:tcW w:w="7933" w:type="dxa"/>
            <w:tcBorders>
              <w:top w:val="single" w:color="000000" w:sz="8" w:space="0"/>
              <w:left w:val="single" w:color="000000" w:sz="8" w:space="0"/>
              <w:bottom w:val="single" w:color="000000" w:sz="8" w:space="0"/>
              <w:right w:val="single" w:color="000000" w:sz="8" w:space="0"/>
            </w:tcBorders>
            <w:shd w:val="clear" w:color="auto" w:fill="EDEDED"/>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shd w:val="clear" w:color="auto" w:fill="auto"/>
                <w:lang w:val="en-US" w:eastAsia="zh-CN" w:bidi="ar"/>
              </w:rPr>
              <w:t>公司投资者关系管理主要负责人和工作人员具备相关素质和技能。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10" w:hRule="atLeast"/>
        </w:trPr>
        <w:tc>
          <w:tcPr>
            <w:tcW w:w="40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8"/>
                <w:szCs w:val="28"/>
                <w:u w:val="none"/>
                <w:lang w:val="en-US" w:eastAsia="zh-CN" w:bidi="ar"/>
              </w:rPr>
            </w:pPr>
          </w:p>
        </w:tc>
        <w:tc>
          <w:tcPr>
            <w:tcW w:w="793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可从投关团队的学历、专业技能等方面描述；</w:t>
            </w:r>
          </w:p>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可列举相关材料证明投关团队沟通能力，如获得的好评等。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07" w:hRule="atLeast"/>
        </w:trPr>
        <w:tc>
          <w:tcPr>
            <w:tcW w:w="400" w:type="dxa"/>
            <w:tcBorders>
              <w:top w:val="single" w:color="000000" w:sz="8" w:space="0"/>
              <w:left w:val="single" w:color="000000" w:sz="8" w:space="0"/>
              <w:bottom w:val="single" w:color="000000" w:sz="8" w:space="0"/>
              <w:right w:val="single" w:color="000000" w:sz="8" w:space="0"/>
            </w:tcBorders>
            <w:shd w:val="clear" w:color="auto" w:fill="EDEDED"/>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7933" w:type="dxa"/>
            <w:tcBorders>
              <w:top w:val="single" w:color="000000" w:sz="8" w:space="0"/>
              <w:left w:val="single" w:color="000000" w:sz="8" w:space="0"/>
              <w:bottom w:val="single" w:color="000000" w:sz="8" w:space="0"/>
              <w:right w:val="single" w:color="000000" w:sz="8" w:space="0"/>
            </w:tcBorders>
            <w:shd w:val="clear" w:color="auto" w:fill="EDEDED"/>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积极参加中国上市公司协会、交易所、投服中心、证监局、资本市场学院举办的投资者关系管理等主题培训，公司支持对董事、监事、高级管理人员及相关工作人员进行证券市场法律法规及投资者关系管理专业知识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3" w:hRule="atLeast"/>
        </w:trPr>
        <w:tc>
          <w:tcPr>
            <w:tcW w:w="40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8"/>
                <w:szCs w:val="28"/>
                <w:u w:val="none"/>
                <w:lang w:val="en-US" w:eastAsia="zh-CN" w:bidi="ar"/>
              </w:rPr>
            </w:pPr>
          </w:p>
        </w:tc>
        <w:tc>
          <w:tcPr>
            <w:tcW w:w="793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可填报培训累计开展次数、或者公司支持下参加相关专业考试的人次。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trPr>
        <w:tc>
          <w:tcPr>
            <w:tcW w:w="400" w:type="dxa"/>
            <w:tcBorders>
              <w:top w:val="single" w:color="000000" w:sz="8" w:space="0"/>
              <w:left w:val="single" w:color="000000" w:sz="8" w:space="0"/>
              <w:bottom w:val="single" w:color="000000" w:sz="8" w:space="0"/>
              <w:right w:val="single" w:color="000000" w:sz="8" w:space="0"/>
            </w:tcBorders>
            <w:shd w:val="clear" w:color="auto" w:fill="CFCECE"/>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0"/>
                <w:sz w:val="28"/>
                <w:szCs w:val="28"/>
                <w:u w:val="none"/>
                <w:lang w:val="en-US" w:eastAsia="zh-CN" w:bidi="ar"/>
              </w:rPr>
            </w:pPr>
          </w:p>
        </w:tc>
        <w:tc>
          <w:tcPr>
            <w:tcW w:w="7933" w:type="dxa"/>
            <w:tcBorders>
              <w:top w:val="single" w:color="000000" w:sz="8" w:space="0"/>
              <w:left w:val="single" w:color="000000" w:sz="8" w:space="0"/>
              <w:bottom w:val="single" w:color="000000" w:sz="8" w:space="0"/>
              <w:right w:val="single" w:color="000000" w:sz="8" w:space="0"/>
            </w:tcBorders>
            <w:shd w:val="clear" w:color="auto" w:fill="CFCECE"/>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b/>
                <w:i w:val="0"/>
                <w:color w:val="000000"/>
                <w:kern w:val="0"/>
                <w:sz w:val="28"/>
                <w:szCs w:val="28"/>
                <w:u w:val="none"/>
                <w:lang w:val="en-US" w:eastAsia="zh-CN" w:bidi="ar"/>
              </w:rPr>
              <w:t>二、投资者关系管理事务管理情况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1" w:hRule="atLeast"/>
        </w:trPr>
        <w:tc>
          <w:tcPr>
            <w:tcW w:w="400" w:type="dxa"/>
            <w:tcBorders>
              <w:top w:val="single" w:color="000000" w:sz="8" w:space="0"/>
              <w:left w:val="single" w:color="000000" w:sz="8" w:space="0"/>
              <w:bottom w:val="single" w:color="000000" w:sz="8" w:space="0"/>
              <w:right w:val="single" w:color="000000" w:sz="8" w:space="0"/>
            </w:tcBorders>
            <w:shd w:val="clear" w:color="auto" w:fill="EDEDED"/>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7933" w:type="dxa"/>
            <w:tcBorders>
              <w:top w:val="single" w:color="000000" w:sz="8" w:space="0"/>
              <w:left w:val="single" w:color="000000" w:sz="8" w:space="0"/>
              <w:bottom w:val="single" w:color="000000" w:sz="8" w:space="0"/>
              <w:right w:val="single" w:color="000000" w:sz="8" w:space="0"/>
            </w:tcBorders>
            <w:shd w:val="clear" w:color="auto" w:fill="EDEDED"/>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8"/>
                <w:szCs w:val="28"/>
                <w:u w:val="none"/>
                <w:lang w:val="en-US"/>
              </w:rPr>
            </w:pPr>
            <w:r>
              <w:rPr>
                <w:rFonts w:hint="eastAsia" w:ascii="仿宋" w:hAnsi="仿宋" w:eastAsia="仿宋" w:cs="仿宋"/>
                <w:i w:val="0"/>
                <w:color w:val="000000"/>
                <w:kern w:val="0"/>
                <w:sz w:val="28"/>
                <w:szCs w:val="28"/>
                <w:u w:val="none"/>
                <w:lang w:val="en-US" w:eastAsia="zh-CN" w:bidi="ar"/>
              </w:rPr>
              <w:t>投资者关系管理活动多渠道多形式合规开展，为中小投资者提供便利。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5" w:hRule="atLeast"/>
        </w:trPr>
        <w:tc>
          <w:tcPr>
            <w:tcW w:w="40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p>
        </w:tc>
        <w:tc>
          <w:tcPr>
            <w:tcW w:w="793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可列举除业绩说明会之外的投教投关活动频次；</w:t>
            </w:r>
          </w:p>
          <w:p>
            <w:pPr>
              <w:keepNext w:val="0"/>
              <w:keepLines w:val="0"/>
              <w:widowControl/>
              <w:suppressLineNumbers w:val="0"/>
              <w:jc w:val="left"/>
              <w:textAlignment w:val="center"/>
              <w:rPr>
                <w:rFonts w:hint="default" w:ascii="仿宋" w:hAnsi="仿宋" w:eastAsia="仿宋" w:cs="仿宋"/>
                <w:i w:val="0"/>
                <w:color w:val="000000"/>
                <w:sz w:val="28"/>
                <w:szCs w:val="28"/>
                <w:u w:val="none"/>
                <w:lang w:val="en-US"/>
              </w:rPr>
            </w:pPr>
            <w:r>
              <w:rPr>
                <w:rFonts w:hint="eastAsia" w:ascii="仿宋" w:hAnsi="仿宋" w:eastAsia="仿宋" w:cs="仿宋"/>
                <w:i w:val="0"/>
                <w:color w:val="000000"/>
                <w:kern w:val="0"/>
                <w:sz w:val="28"/>
                <w:szCs w:val="28"/>
                <w:u w:val="none"/>
                <w:lang w:val="en-US" w:eastAsia="zh-CN" w:bidi="ar"/>
              </w:rPr>
              <w:t>可列举积极建设并充分利用投教基地的情况。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21" w:hRule="atLeast"/>
        </w:trPr>
        <w:tc>
          <w:tcPr>
            <w:tcW w:w="400" w:type="dxa"/>
            <w:tcBorders>
              <w:top w:val="single" w:color="000000" w:sz="8" w:space="0"/>
              <w:left w:val="single" w:color="000000" w:sz="8" w:space="0"/>
              <w:bottom w:val="single" w:color="000000" w:sz="8" w:space="0"/>
              <w:right w:val="single" w:color="000000" w:sz="8" w:space="0"/>
            </w:tcBorders>
            <w:shd w:val="clear" w:color="auto" w:fill="EDEDED"/>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7933" w:type="dxa"/>
            <w:tcBorders>
              <w:top w:val="single" w:color="000000" w:sz="8" w:space="0"/>
              <w:left w:val="single" w:color="000000" w:sz="8" w:space="0"/>
              <w:bottom w:val="single" w:color="000000" w:sz="8" w:space="0"/>
              <w:right w:val="single" w:color="000000" w:sz="8" w:space="0"/>
            </w:tcBorders>
            <w:shd w:val="clear" w:color="auto" w:fill="EDEDED"/>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公司是否重视投资者说明会，注重与投资者交流互动的效果，在重大事件说明会中与投资者充分沟通、听取建议。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3" w:hRule="atLeast"/>
        </w:trPr>
        <w:tc>
          <w:tcPr>
            <w:tcW w:w="40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p>
        </w:tc>
        <w:tc>
          <w:tcPr>
            <w:tcW w:w="793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可列举公司能够充分沟通并且采纳投资者意见、注重重大事件管理的案例。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8" w:hRule="atLeast"/>
        </w:trPr>
        <w:tc>
          <w:tcPr>
            <w:tcW w:w="400" w:type="dxa"/>
            <w:tcBorders>
              <w:top w:val="single" w:color="000000" w:sz="8" w:space="0"/>
              <w:left w:val="single" w:color="000000" w:sz="8" w:space="0"/>
              <w:bottom w:val="single" w:color="000000" w:sz="8" w:space="0"/>
              <w:right w:val="single" w:color="000000" w:sz="8" w:space="0"/>
            </w:tcBorders>
            <w:shd w:val="clear" w:color="auto" w:fill="EDEDED"/>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w:t>
            </w:r>
          </w:p>
        </w:tc>
        <w:tc>
          <w:tcPr>
            <w:tcW w:w="7933" w:type="dxa"/>
            <w:tcBorders>
              <w:top w:val="single" w:color="000000" w:sz="8" w:space="0"/>
              <w:left w:val="single" w:color="000000" w:sz="8" w:space="0"/>
              <w:bottom w:val="single" w:color="000000" w:sz="8" w:space="0"/>
              <w:right w:val="single" w:color="000000" w:sz="8" w:space="0"/>
            </w:tcBorders>
            <w:shd w:val="clear" w:color="auto" w:fill="EDEDED"/>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积极支持配合投资者依法行使股东权利、配合自律组织及投资者保护机构维护投资者合法权益的各项活动。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8" w:hRule="atLeast"/>
        </w:trPr>
        <w:tc>
          <w:tcPr>
            <w:tcW w:w="40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p>
        </w:tc>
        <w:tc>
          <w:tcPr>
            <w:tcW w:w="793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可列举典型事例。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1" w:hRule="atLeast"/>
        </w:trPr>
        <w:tc>
          <w:tcPr>
            <w:tcW w:w="400" w:type="dxa"/>
            <w:tcBorders>
              <w:top w:val="single" w:color="000000" w:sz="8" w:space="0"/>
              <w:left w:val="single" w:color="000000" w:sz="8" w:space="0"/>
              <w:bottom w:val="single" w:color="000000" w:sz="8" w:space="0"/>
              <w:right w:val="single" w:color="000000" w:sz="8" w:space="0"/>
            </w:tcBorders>
            <w:shd w:val="clear" w:color="auto" w:fill="CFCECE"/>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0"/>
                <w:sz w:val="28"/>
                <w:szCs w:val="28"/>
                <w:u w:val="none"/>
                <w:lang w:val="en-US" w:eastAsia="zh-CN" w:bidi="ar"/>
              </w:rPr>
            </w:pPr>
          </w:p>
        </w:tc>
        <w:tc>
          <w:tcPr>
            <w:tcW w:w="7933" w:type="dxa"/>
            <w:tcBorders>
              <w:top w:val="single" w:color="000000" w:sz="8" w:space="0"/>
              <w:left w:val="single" w:color="000000" w:sz="8" w:space="0"/>
              <w:bottom w:val="single" w:color="000000" w:sz="8" w:space="0"/>
              <w:right w:val="single" w:color="000000" w:sz="8" w:space="0"/>
            </w:tcBorders>
            <w:shd w:val="clear" w:color="auto" w:fill="CFCECE"/>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b/>
                <w:i w:val="0"/>
                <w:color w:val="000000"/>
                <w:kern w:val="0"/>
                <w:sz w:val="28"/>
                <w:szCs w:val="28"/>
                <w:u w:val="none"/>
                <w:lang w:val="en-US" w:eastAsia="zh-CN" w:bidi="ar"/>
              </w:rPr>
              <w:t>三、主动与投资者有效沟通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56" w:hRule="atLeast"/>
        </w:trPr>
        <w:tc>
          <w:tcPr>
            <w:tcW w:w="400" w:type="dxa"/>
            <w:tcBorders>
              <w:top w:val="single" w:color="000000" w:sz="8" w:space="0"/>
              <w:left w:val="single" w:color="000000" w:sz="8" w:space="0"/>
              <w:bottom w:val="single" w:color="000000" w:sz="8" w:space="0"/>
              <w:right w:val="single" w:color="000000" w:sz="8" w:space="0"/>
            </w:tcBorders>
            <w:shd w:val="clear" w:color="auto" w:fill="EDEDED"/>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7933" w:type="dxa"/>
            <w:tcBorders>
              <w:top w:val="single" w:color="000000" w:sz="8" w:space="0"/>
              <w:left w:val="single" w:color="000000" w:sz="8" w:space="0"/>
              <w:bottom w:val="single" w:color="000000" w:sz="8" w:space="0"/>
              <w:right w:val="single" w:color="000000" w:sz="8" w:space="0"/>
            </w:tcBorders>
            <w:shd w:val="clear" w:color="auto" w:fill="EDEDED"/>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依法依规主动沟通有利于投资者增进对公司理解的相关信息；特别是能够提示公司可能面临的机遇、风险及挑战。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1" w:hRule="atLeast"/>
        </w:trPr>
        <w:tc>
          <w:tcPr>
            <w:tcW w:w="40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p>
        </w:tc>
        <w:tc>
          <w:tcPr>
            <w:tcW w:w="793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可填报公司通过线上或线下方式进行自愿性信息披露的情况；</w:t>
            </w:r>
          </w:p>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可填报自愿披露内容得到的投资者良好反馈。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07" w:hRule="atLeast"/>
        </w:trPr>
        <w:tc>
          <w:tcPr>
            <w:tcW w:w="400" w:type="dxa"/>
            <w:tcBorders>
              <w:top w:val="single" w:color="000000" w:sz="8" w:space="0"/>
              <w:left w:val="single" w:color="000000" w:sz="8" w:space="0"/>
              <w:bottom w:val="single" w:color="000000" w:sz="8" w:space="0"/>
              <w:right w:val="single" w:color="000000" w:sz="8" w:space="0"/>
            </w:tcBorders>
            <w:shd w:val="clear" w:color="auto" w:fill="EDEDED"/>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7933" w:type="dxa"/>
            <w:tcBorders>
              <w:top w:val="single" w:color="000000" w:sz="8" w:space="0"/>
              <w:left w:val="single" w:color="000000" w:sz="8" w:space="0"/>
              <w:bottom w:val="single" w:color="000000" w:sz="8" w:space="0"/>
              <w:right w:val="single" w:color="000000" w:sz="8" w:space="0"/>
            </w:tcBorders>
            <w:shd w:val="clear" w:color="auto" w:fill="EDEDED"/>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建立完善的上市公司投资者意见反馈机制，及时回应或澄清媒体不当报道。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08" w:hRule="atLeast"/>
        </w:trPr>
        <w:tc>
          <w:tcPr>
            <w:tcW w:w="400" w:type="dxa"/>
            <w:tcBorders>
              <w:top w:val="single" w:color="000000" w:sz="8" w:space="0"/>
              <w:left w:val="single" w:color="000000" w:sz="8" w:space="0"/>
              <w:bottom w:val="single" w:color="000000" w:sz="8" w:space="0"/>
              <w:right w:val="single" w:color="000000" w:sz="8" w:space="0"/>
            </w:tcBorders>
            <w:shd w:val="clear" w:color="auto" w:fill="EDEDED"/>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w:t>
            </w:r>
          </w:p>
        </w:tc>
        <w:tc>
          <w:tcPr>
            <w:tcW w:w="7933" w:type="dxa"/>
            <w:tcBorders>
              <w:top w:val="single" w:color="000000" w:sz="8" w:space="0"/>
              <w:left w:val="single" w:color="000000" w:sz="8" w:space="0"/>
              <w:bottom w:val="single" w:color="000000" w:sz="8" w:space="0"/>
              <w:right w:val="single" w:color="000000" w:sz="8" w:space="0"/>
            </w:tcBorders>
            <w:shd w:val="clear" w:color="auto" w:fill="EDEDED"/>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积极通过现金分红、股份回购等多种途径，提高投资者回报水平。主动关注公司投资者情况变动情况，分析投资者关系管理活动效果。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40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p>
        </w:tc>
        <w:tc>
          <w:tcPr>
            <w:tcW w:w="793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可填报公司主动关注投资者变动情况的相关内容；</w:t>
            </w:r>
          </w:p>
          <w:p>
            <w:pPr>
              <w:keepNext w:val="0"/>
              <w:keepLines w:val="0"/>
              <w:widowControl/>
              <w:suppressLineNumbers w:val="0"/>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可列举公司通过投资者关系管理活动在投资者维度取得的成果。</w:t>
            </w:r>
          </w:p>
        </w:tc>
      </w:tr>
    </w:tbl>
    <w:p>
      <w:pPr>
        <w:adjustRightInd w:val="0"/>
        <w:snapToGrid w:val="0"/>
        <w:spacing w:line="560" w:lineRule="exact"/>
        <w:ind w:firstLine="0" w:firstLineChars="0"/>
        <w:rPr>
          <w:rFonts w:hint="eastAsia" w:ascii="仿宋" w:hAnsi="仿宋" w:eastAsia="仿宋" w:cs="仿宋"/>
          <w:color w:val="000000"/>
          <w:kern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三、客观规则</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客观部分将通过公开数据综合评估，无需公司填报，</w:t>
      </w:r>
      <w:r>
        <w:rPr>
          <w:rFonts w:hint="eastAsia" w:ascii="仿宋" w:hAnsi="仿宋" w:eastAsia="仿宋" w:cs="仿宋"/>
          <w:b w:val="0"/>
          <w:bCs w:val="0"/>
          <w:sz w:val="32"/>
          <w:szCs w:val="32"/>
          <w:lang w:val="en-US" w:eastAsia="zh-CN"/>
        </w:rPr>
        <w:t>下表</w:t>
      </w:r>
      <w:r>
        <w:rPr>
          <w:rFonts w:hint="eastAsia" w:ascii="仿宋" w:hAnsi="仿宋" w:eastAsia="仿宋" w:cs="仿宋"/>
          <w:b w:val="0"/>
          <w:bCs w:val="0"/>
          <w:color w:val="000000"/>
          <w:kern w:val="0"/>
          <w:sz w:val="32"/>
          <w:szCs w:val="32"/>
          <w:lang w:val="en-US" w:eastAsia="zh-CN"/>
        </w:rPr>
        <w:t>规则供参考。</w:t>
      </w:r>
    </w:p>
    <w:tbl>
      <w:tblPr>
        <w:tblStyle w:val="4"/>
        <w:tblW w:w="8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7"/>
        <w:gridCol w:w="7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8336" w:type="dxa"/>
            <w:gridSpan w:val="2"/>
            <w:tcBorders>
              <w:top w:val="single" w:color="000000" w:sz="8" w:space="0"/>
              <w:left w:val="single" w:color="000000" w:sz="8" w:space="0"/>
              <w:bottom w:val="single" w:color="000000" w:sz="8" w:space="0"/>
              <w:right w:val="single" w:color="000000" w:sz="8" w:space="0"/>
            </w:tcBorders>
            <w:shd w:val="clear" w:color="auto" w:fill="CFCECE"/>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color w:val="000000"/>
                <w:kern w:val="0"/>
                <w:sz w:val="32"/>
                <w:szCs w:val="32"/>
                <w:lang w:val="en-US" w:eastAsia="zh-CN"/>
              </w:rPr>
            </w:pPr>
            <w:r>
              <w:rPr>
                <w:rFonts w:hint="eastAsia" w:ascii="仿宋" w:hAnsi="仿宋" w:eastAsia="仿宋" w:cs="仿宋"/>
                <w:b/>
                <w:bCs/>
                <w:color w:val="000000"/>
                <w:kern w:val="0"/>
                <w:sz w:val="32"/>
                <w:szCs w:val="32"/>
                <w:lang w:val="en-US" w:eastAsia="zh-CN"/>
              </w:rPr>
              <w:t>上市公司投资者关系管理最佳实践活动</w:t>
            </w:r>
          </w:p>
          <w:p>
            <w:pPr>
              <w:keepNext w:val="0"/>
              <w:keepLines w:val="0"/>
              <w:widowControl/>
              <w:suppressLineNumbers w:val="0"/>
              <w:jc w:val="center"/>
              <w:textAlignment w:val="center"/>
              <w:rPr>
                <w:rFonts w:hint="default" w:ascii="仿宋" w:hAnsi="仿宋" w:eastAsia="仿宋" w:cs="仿宋"/>
                <w:b/>
                <w:i w:val="0"/>
                <w:color w:val="000000"/>
                <w:sz w:val="28"/>
                <w:szCs w:val="28"/>
                <w:u w:val="none"/>
                <w:lang w:val="en-US"/>
              </w:rPr>
            </w:pPr>
            <w:r>
              <w:rPr>
                <w:rFonts w:hint="eastAsia" w:ascii="仿宋" w:hAnsi="仿宋" w:eastAsia="仿宋" w:cs="仿宋"/>
                <w:b/>
                <w:bCs/>
                <w:color w:val="000000"/>
                <w:kern w:val="0"/>
                <w:sz w:val="32"/>
                <w:szCs w:val="32"/>
                <w:lang w:val="en-US" w:eastAsia="zh-CN"/>
              </w:rPr>
              <w:t>客观记分项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tblHeader/>
        </w:trPr>
        <w:tc>
          <w:tcPr>
            <w:tcW w:w="857" w:type="dxa"/>
            <w:tcBorders>
              <w:top w:val="single" w:color="000000" w:sz="8" w:space="0"/>
              <w:left w:val="single" w:color="000000" w:sz="8" w:space="0"/>
              <w:bottom w:val="single" w:color="000000" w:sz="8" w:space="0"/>
              <w:right w:val="single" w:color="000000" w:sz="8" w:space="0"/>
            </w:tcBorders>
            <w:shd w:val="clear" w:color="auto" w:fill="EDEDED"/>
            <w:tcMar>
              <w:top w:w="15" w:type="dxa"/>
              <w:left w:w="15" w:type="dxa"/>
              <w:right w:w="15" w:type="dxa"/>
            </w:tcMar>
            <w:vAlign w:val="center"/>
          </w:tcPr>
          <w:p>
            <w:pPr>
              <w:jc w:val="center"/>
              <w:rPr>
                <w:rFonts w:hint="default" w:ascii="仿宋" w:hAnsi="仿宋" w:eastAsia="仿宋" w:cs="仿宋"/>
                <w:b/>
                <w:bCs/>
                <w:i w:val="0"/>
                <w:color w:val="000000"/>
                <w:kern w:val="0"/>
                <w:sz w:val="28"/>
                <w:szCs w:val="28"/>
                <w:u w:val="none"/>
                <w:shd w:val="clear" w:color="auto" w:fill="auto"/>
                <w:lang w:val="en-US" w:eastAsia="zh-CN" w:bidi="ar"/>
              </w:rPr>
            </w:pPr>
            <w:r>
              <w:rPr>
                <w:rFonts w:hint="eastAsia" w:ascii="仿宋" w:hAnsi="仿宋" w:eastAsia="仿宋" w:cs="仿宋"/>
                <w:b/>
                <w:bCs/>
                <w:i w:val="0"/>
                <w:color w:val="000000"/>
                <w:kern w:val="0"/>
                <w:sz w:val="28"/>
                <w:szCs w:val="28"/>
                <w:u w:val="none"/>
                <w:shd w:val="clear" w:color="auto" w:fill="auto"/>
                <w:lang w:val="en-US" w:eastAsia="zh-CN" w:bidi="ar"/>
              </w:rPr>
              <w:t>序号</w:t>
            </w:r>
          </w:p>
        </w:tc>
        <w:tc>
          <w:tcPr>
            <w:tcW w:w="7479" w:type="dxa"/>
            <w:tcBorders>
              <w:top w:val="single" w:color="000000" w:sz="8" w:space="0"/>
              <w:left w:val="single" w:color="000000" w:sz="8" w:space="0"/>
              <w:bottom w:val="single" w:color="000000" w:sz="8" w:space="0"/>
              <w:right w:val="single" w:color="000000" w:sz="8" w:space="0"/>
            </w:tcBorders>
            <w:shd w:val="clear" w:color="auto" w:fill="EDEDED"/>
            <w:tcMar>
              <w:top w:w="15" w:type="dxa"/>
              <w:left w:w="15" w:type="dxa"/>
              <w:right w:w="15" w:type="dxa"/>
            </w:tcMar>
            <w:vAlign w:val="center"/>
          </w:tcPr>
          <w:p>
            <w:pPr>
              <w:jc w:val="both"/>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b/>
                <w:bCs/>
                <w:i w:val="0"/>
                <w:color w:val="000000"/>
                <w:kern w:val="0"/>
                <w:sz w:val="28"/>
                <w:szCs w:val="28"/>
                <w:u w:val="none"/>
                <w:shd w:val="clear" w:color="auto" w:fill="auto"/>
                <w:lang w:val="en-US" w:eastAsia="zh-CN" w:bidi="ar"/>
              </w:rPr>
              <w:t>一、投资者关系管理制度及团队建设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tblHeader/>
        </w:trPr>
        <w:tc>
          <w:tcPr>
            <w:tcW w:w="85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8"/>
                <w:szCs w:val="28"/>
                <w:u w:val="none"/>
                <w:lang w:val="en-US" w:eastAsia="zh-CN"/>
              </w:rPr>
            </w:pPr>
            <w:r>
              <w:rPr>
                <w:rFonts w:hint="eastAsia" w:ascii="仿宋" w:hAnsi="仿宋" w:eastAsia="仿宋" w:cs="仿宋"/>
                <w:b w:val="0"/>
                <w:bCs w:val="0"/>
                <w:i w:val="0"/>
                <w:color w:val="000000"/>
                <w:sz w:val="28"/>
                <w:szCs w:val="28"/>
                <w:u w:val="none"/>
                <w:lang w:val="en-US" w:eastAsia="zh-CN"/>
              </w:rPr>
              <w:t>1</w:t>
            </w:r>
          </w:p>
        </w:tc>
        <w:tc>
          <w:tcPr>
            <w:tcW w:w="747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b w:val="0"/>
                <w:bCs w:val="0"/>
                <w:i w:val="0"/>
                <w:color w:val="000000"/>
                <w:sz w:val="28"/>
                <w:szCs w:val="28"/>
                <w:u w:val="none"/>
              </w:rPr>
            </w:pPr>
            <w:r>
              <w:rPr>
                <w:rFonts w:hint="eastAsia" w:ascii="仿宋" w:hAnsi="仿宋" w:eastAsia="仿宋" w:cs="仿宋"/>
                <w:b w:val="0"/>
                <w:bCs w:val="0"/>
                <w:i w:val="0"/>
                <w:color w:val="000000"/>
                <w:kern w:val="0"/>
                <w:sz w:val="28"/>
                <w:szCs w:val="28"/>
                <w:u w:val="none"/>
                <w:lang w:val="en-US" w:eastAsia="zh-CN" w:bidi="ar"/>
              </w:rPr>
              <w:t>建立完善的投资者关系管理制度：包含工作原则、工作机制、主要内容、工作开展方式渠道和工作要求。</w:t>
            </w:r>
          </w:p>
        </w:tc>
      </w:tr>
      <w:tr>
        <w:tblPrEx>
          <w:tblLayout w:type="fixed"/>
          <w:tblCellMar>
            <w:top w:w="0" w:type="dxa"/>
            <w:left w:w="0" w:type="dxa"/>
            <w:bottom w:w="0" w:type="dxa"/>
            <w:right w:w="0" w:type="dxa"/>
          </w:tblCellMar>
        </w:tblPrEx>
        <w:trPr>
          <w:trHeight w:val="312" w:hRule="atLeast"/>
          <w:tblHeader/>
        </w:trPr>
        <w:tc>
          <w:tcPr>
            <w:tcW w:w="85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val="0"/>
                <w:i w:val="0"/>
                <w:color w:val="000000"/>
                <w:kern w:val="0"/>
                <w:sz w:val="28"/>
                <w:szCs w:val="28"/>
                <w:u w:val="none"/>
                <w:lang w:val="en-US" w:eastAsia="zh-CN" w:bidi="ar"/>
              </w:rPr>
            </w:pPr>
            <w:r>
              <w:rPr>
                <w:rFonts w:hint="eastAsia" w:ascii="仿宋" w:hAnsi="仿宋" w:eastAsia="仿宋" w:cs="仿宋"/>
                <w:b w:val="0"/>
                <w:bCs w:val="0"/>
                <w:i w:val="0"/>
                <w:color w:val="000000"/>
                <w:kern w:val="0"/>
                <w:sz w:val="28"/>
                <w:szCs w:val="28"/>
                <w:u w:val="none"/>
                <w:lang w:val="en-US" w:eastAsia="zh-CN" w:bidi="ar"/>
              </w:rPr>
              <w:t>2</w:t>
            </w:r>
          </w:p>
        </w:tc>
        <w:tc>
          <w:tcPr>
            <w:tcW w:w="747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b w:val="0"/>
                <w:bCs w:val="0"/>
                <w:i w:val="0"/>
                <w:color w:val="000000"/>
                <w:kern w:val="0"/>
                <w:sz w:val="28"/>
                <w:szCs w:val="28"/>
                <w:u w:val="none"/>
                <w:lang w:val="en-US" w:eastAsia="zh-CN" w:bidi="ar"/>
              </w:rPr>
            </w:pPr>
            <w:r>
              <w:rPr>
                <w:rFonts w:hint="eastAsia" w:ascii="仿宋" w:hAnsi="仿宋" w:eastAsia="仿宋" w:cs="仿宋"/>
                <w:b w:val="0"/>
                <w:bCs w:val="0"/>
                <w:i w:val="0"/>
                <w:color w:val="000000"/>
                <w:kern w:val="0"/>
                <w:sz w:val="28"/>
                <w:szCs w:val="28"/>
                <w:u w:val="none"/>
                <w:lang w:val="en-US" w:eastAsia="zh-CN" w:bidi="ar"/>
              </w:rPr>
              <w:t>董秘及以上级别负责、部门和部门人员明确。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tblHeader/>
        </w:trPr>
        <w:tc>
          <w:tcPr>
            <w:tcW w:w="85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val="0"/>
                <w:i w:val="0"/>
                <w:color w:val="000000"/>
                <w:kern w:val="0"/>
                <w:sz w:val="28"/>
                <w:szCs w:val="28"/>
                <w:u w:val="none"/>
                <w:lang w:val="en-US" w:eastAsia="zh-CN" w:bidi="ar"/>
              </w:rPr>
            </w:pPr>
            <w:r>
              <w:rPr>
                <w:rFonts w:hint="eastAsia" w:ascii="仿宋" w:hAnsi="仿宋" w:eastAsia="仿宋" w:cs="仿宋"/>
                <w:b w:val="0"/>
                <w:bCs w:val="0"/>
                <w:i w:val="0"/>
                <w:color w:val="000000"/>
                <w:kern w:val="0"/>
                <w:sz w:val="28"/>
                <w:szCs w:val="28"/>
                <w:u w:val="none"/>
                <w:lang w:val="en-US" w:eastAsia="zh-CN" w:bidi="ar"/>
              </w:rPr>
              <w:t>3</w:t>
            </w:r>
          </w:p>
        </w:tc>
        <w:tc>
          <w:tcPr>
            <w:tcW w:w="747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b w:val="0"/>
                <w:bCs w:val="0"/>
                <w:i w:val="0"/>
                <w:color w:val="000000"/>
                <w:sz w:val="28"/>
                <w:szCs w:val="28"/>
                <w:u w:val="none"/>
                <w:lang w:val="en-US"/>
              </w:rPr>
            </w:pPr>
            <w:r>
              <w:rPr>
                <w:rFonts w:hint="eastAsia" w:ascii="仿宋" w:hAnsi="仿宋" w:eastAsia="仿宋" w:cs="仿宋"/>
                <w:b w:val="0"/>
                <w:bCs w:val="0"/>
                <w:i w:val="0"/>
                <w:color w:val="000000"/>
                <w:kern w:val="0"/>
                <w:sz w:val="28"/>
                <w:szCs w:val="28"/>
                <w:u w:val="none"/>
                <w:lang w:val="en-US" w:eastAsia="zh-CN" w:bidi="ar"/>
              </w:rPr>
              <w:t>建立健全投资者关系管理档案并妥善保管。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tblHeader/>
        </w:trPr>
        <w:tc>
          <w:tcPr>
            <w:tcW w:w="85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val="0"/>
                <w:i w:val="0"/>
                <w:color w:val="000000"/>
                <w:kern w:val="0"/>
                <w:sz w:val="28"/>
                <w:szCs w:val="28"/>
                <w:u w:val="none"/>
                <w:lang w:val="en-US" w:eastAsia="zh-CN" w:bidi="ar"/>
              </w:rPr>
            </w:pPr>
            <w:r>
              <w:rPr>
                <w:rFonts w:hint="eastAsia" w:ascii="仿宋" w:hAnsi="仿宋" w:eastAsia="仿宋" w:cs="仿宋"/>
                <w:b w:val="0"/>
                <w:bCs w:val="0"/>
                <w:i w:val="0"/>
                <w:color w:val="000000"/>
                <w:kern w:val="0"/>
                <w:sz w:val="28"/>
                <w:szCs w:val="28"/>
                <w:u w:val="none"/>
                <w:lang w:val="en-US" w:eastAsia="zh-CN" w:bidi="ar"/>
              </w:rPr>
              <w:t>4</w:t>
            </w:r>
          </w:p>
        </w:tc>
        <w:tc>
          <w:tcPr>
            <w:tcW w:w="747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b w:val="0"/>
                <w:bCs w:val="0"/>
                <w:i w:val="0"/>
                <w:color w:val="000000"/>
                <w:kern w:val="0"/>
                <w:sz w:val="28"/>
                <w:szCs w:val="28"/>
                <w:u w:val="none"/>
                <w:lang w:val="en-US" w:eastAsia="zh-CN" w:bidi="ar"/>
              </w:rPr>
            </w:pPr>
            <w:r>
              <w:rPr>
                <w:rFonts w:hint="eastAsia" w:ascii="仿宋" w:hAnsi="仿宋" w:eastAsia="仿宋" w:cs="仿宋"/>
                <w:b w:val="0"/>
                <w:bCs w:val="0"/>
                <w:i w:val="0"/>
                <w:color w:val="000000"/>
                <w:kern w:val="0"/>
                <w:sz w:val="28"/>
                <w:szCs w:val="28"/>
                <w:u w:val="none"/>
                <w:lang w:val="en-US" w:eastAsia="zh-CN" w:bidi="ar"/>
              </w:rPr>
              <w:t>投资者关系管理活动的制度和程序完善，并公开相关制度。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tblHeader/>
        </w:trPr>
        <w:tc>
          <w:tcPr>
            <w:tcW w:w="85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仿宋" w:hAnsi="仿宋" w:eastAsia="仿宋" w:cs="仿宋"/>
                <w:b w:val="0"/>
                <w:bCs w:val="0"/>
                <w:i w:val="0"/>
                <w:color w:val="000000"/>
                <w:kern w:val="0"/>
                <w:sz w:val="28"/>
                <w:szCs w:val="28"/>
                <w:u w:val="none"/>
                <w:lang w:val="en-US" w:eastAsia="zh-CN" w:bidi="ar"/>
              </w:rPr>
            </w:pPr>
            <w:r>
              <w:rPr>
                <w:rFonts w:hint="eastAsia" w:ascii="仿宋" w:hAnsi="仿宋" w:eastAsia="仿宋" w:cs="仿宋"/>
                <w:b w:val="0"/>
                <w:bCs w:val="0"/>
                <w:i w:val="0"/>
                <w:color w:val="000000"/>
                <w:kern w:val="0"/>
                <w:sz w:val="28"/>
                <w:szCs w:val="28"/>
                <w:u w:val="none"/>
                <w:lang w:val="en-US" w:eastAsia="zh-CN" w:bidi="ar"/>
              </w:rPr>
              <w:t>5</w:t>
            </w:r>
          </w:p>
        </w:tc>
        <w:tc>
          <w:tcPr>
            <w:tcW w:w="747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default" w:ascii="仿宋" w:hAnsi="仿宋" w:eastAsia="仿宋" w:cs="仿宋"/>
                <w:b w:val="0"/>
                <w:bCs w:val="0"/>
                <w:i w:val="0"/>
                <w:color w:val="000000"/>
                <w:sz w:val="28"/>
                <w:szCs w:val="28"/>
                <w:u w:val="none"/>
                <w:lang w:val="en-US"/>
              </w:rPr>
            </w:pPr>
            <w:r>
              <w:rPr>
                <w:rFonts w:hint="eastAsia" w:ascii="仿宋" w:hAnsi="仿宋" w:eastAsia="仿宋" w:cs="仿宋"/>
                <w:b w:val="0"/>
                <w:bCs w:val="0"/>
                <w:i w:val="0"/>
                <w:color w:val="000000"/>
                <w:kern w:val="0"/>
                <w:sz w:val="28"/>
                <w:szCs w:val="28"/>
                <w:u w:val="none"/>
                <w:lang w:val="en-US" w:eastAsia="zh-CN" w:bidi="ar"/>
              </w:rPr>
              <w:t>投资者关系管理活动渠道丰富。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tblHeader/>
        </w:trPr>
        <w:tc>
          <w:tcPr>
            <w:tcW w:w="85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仿宋" w:hAnsi="仿宋" w:eastAsia="仿宋" w:cs="仿宋"/>
                <w:b/>
                <w:bCs/>
                <w:i w:val="0"/>
                <w:color w:val="000000"/>
                <w:kern w:val="0"/>
                <w:sz w:val="28"/>
                <w:szCs w:val="28"/>
                <w:u w:val="none"/>
                <w:shd w:val="clear" w:color="auto" w:fill="auto"/>
                <w:lang w:val="en-US" w:eastAsia="zh-CN" w:bidi="ar"/>
              </w:rPr>
            </w:pPr>
          </w:p>
        </w:tc>
        <w:tc>
          <w:tcPr>
            <w:tcW w:w="7479" w:type="dxa"/>
            <w:tcBorders>
              <w:top w:val="single" w:color="000000" w:sz="8" w:space="0"/>
              <w:left w:val="single" w:color="000000" w:sz="8" w:space="0"/>
              <w:bottom w:val="single" w:color="000000" w:sz="8" w:space="0"/>
              <w:right w:val="single" w:color="000000" w:sz="8" w:space="0"/>
            </w:tcBorders>
            <w:shd w:val="clear" w:color="auto" w:fill="EDEDED"/>
            <w:tcMar>
              <w:top w:w="15" w:type="dxa"/>
              <w:left w:w="15" w:type="dxa"/>
              <w:right w:w="15" w:type="dxa"/>
            </w:tcMar>
            <w:vAlign w:val="center"/>
          </w:tcPr>
          <w:p>
            <w:pPr>
              <w:jc w:val="both"/>
              <w:rPr>
                <w:rFonts w:hint="eastAsia" w:ascii="仿宋" w:hAnsi="仿宋" w:eastAsia="仿宋" w:cs="仿宋"/>
                <w:b w:val="0"/>
                <w:bCs w:val="0"/>
                <w:i w:val="0"/>
                <w:color w:val="000000"/>
                <w:kern w:val="0"/>
                <w:sz w:val="28"/>
                <w:szCs w:val="28"/>
                <w:u w:val="none"/>
                <w:lang w:val="en-US" w:eastAsia="zh-CN" w:bidi="ar"/>
              </w:rPr>
            </w:pPr>
            <w:r>
              <w:rPr>
                <w:rFonts w:hint="eastAsia" w:ascii="仿宋" w:hAnsi="仿宋" w:eastAsia="仿宋" w:cs="仿宋"/>
                <w:b/>
                <w:bCs/>
                <w:i w:val="0"/>
                <w:color w:val="000000"/>
                <w:kern w:val="0"/>
                <w:sz w:val="28"/>
                <w:szCs w:val="28"/>
                <w:u w:val="none"/>
                <w:shd w:val="clear" w:color="auto" w:fill="auto"/>
                <w:lang w:val="en-US" w:eastAsia="zh-CN" w:bidi="ar"/>
              </w:rPr>
              <w:t>二、投资者关系管理方式和内容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tblHeader/>
        </w:trPr>
        <w:tc>
          <w:tcPr>
            <w:tcW w:w="85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仿宋" w:hAnsi="仿宋" w:eastAsia="仿宋" w:cs="仿宋"/>
                <w:b w:val="0"/>
                <w:bCs w:val="0"/>
                <w:i w:val="0"/>
                <w:color w:val="000000"/>
                <w:kern w:val="0"/>
                <w:sz w:val="28"/>
                <w:szCs w:val="28"/>
                <w:u w:val="none"/>
                <w:lang w:val="en-US" w:eastAsia="zh-CN" w:bidi="ar"/>
              </w:rPr>
            </w:pPr>
            <w:r>
              <w:rPr>
                <w:rFonts w:hint="eastAsia" w:ascii="仿宋" w:hAnsi="仿宋" w:eastAsia="仿宋" w:cs="仿宋"/>
                <w:b w:val="0"/>
                <w:bCs w:val="0"/>
                <w:i w:val="0"/>
                <w:color w:val="000000"/>
                <w:kern w:val="0"/>
                <w:sz w:val="28"/>
                <w:szCs w:val="28"/>
                <w:u w:val="none"/>
                <w:lang w:val="en-US" w:eastAsia="zh-CN" w:bidi="ar"/>
              </w:rPr>
              <w:t>6</w:t>
            </w:r>
          </w:p>
        </w:tc>
        <w:tc>
          <w:tcPr>
            <w:tcW w:w="747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default" w:ascii="仿宋" w:hAnsi="仿宋" w:eastAsia="仿宋" w:cs="仿宋"/>
                <w:b w:val="0"/>
                <w:bCs w:val="0"/>
                <w:i w:val="0"/>
                <w:color w:val="000000"/>
                <w:sz w:val="28"/>
                <w:szCs w:val="28"/>
                <w:u w:val="none"/>
                <w:lang w:val="en-US" w:eastAsia="zh-CN"/>
              </w:rPr>
            </w:pPr>
            <w:r>
              <w:rPr>
                <w:rFonts w:hint="eastAsia" w:ascii="仿宋" w:hAnsi="仿宋" w:eastAsia="仿宋" w:cs="仿宋"/>
                <w:b w:val="0"/>
                <w:bCs w:val="0"/>
                <w:i w:val="0"/>
                <w:color w:val="000000"/>
                <w:sz w:val="28"/>
                <w:szCs w:val="28"/>
                <w:u w:val="none"/>
                <w:lang w:val="en-US" w:eastAsia="zh-CN"/>
              </w:rPr>
              <w:t>投资者关系管理活动形式丰富，积极召开。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tblHeader/>
        </w:trPr>
        <w:tc>
          <w:tcPr>
            <w:tcW w:w="85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仿宋" w:hAnsi="仿宋" w:eastAsia="仿宋" w:cs="仿宋"/>
                <w:b w:val="0"/>
                <w:bCs w:val="0"/>
                <w:i w:val="0"/>
                <w:color w:val="000000"/>
                <w:kern w:val="0"/>
                <w:sz w:val="28"/>
                <w:szCs w:val="28"/>
                <w:highlight w:val="none"/>
                <w:u w:val="none"/>
                <w:lang w:val="en-US" w:eastAsia="zh-CN" w:bidi="ar"/>
              </w:rPr>
            </w:pPr>
            <w:r>
              <w:rPr>
                <w:rFonts w:hint="eastAsia" w:ascii="仿宋" w:hAnsi="仿宋" w:eastAsia="仿宋" w:cs="仿宋"/>
                <w:b w:val="0"/>
                <w:bCs w:val="0"/>
                <w:i w:val="0"/>
                <w:color w:val="000000"/>
                <w:kern w:val="0"/>
                <w:sz w:val="28"/>
                <w:szCs w:val="28"/>
                <w:highlight w:val="none"/>
                <w:u w:val="none"/>
                <w:lang w:val="en-US" w:eastAsia="zh-CN" w:bidi="ar"/>
              </w:rPr>
              <w:t>7</w:t>
            </w:r>
          </w:p>
        </w:tc>
        <w:tc>
          <w:tcPr>
            <w:tcW w:w="747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仿宋" w:hAnsi="仿宋" w:eastAsia="仿宋" w:cs="仿宋"/>
                <w:b w:val="0"/>
                <w:bCs w:val="0"/>
                <w:i w:val="0"/>
                <w:color w:val="000000"/>
                <w:sz w:val="28"/>
                <w:szCs w:val="28"/>
                <w:highlight w:val="none"/>
                <w:u w:val="none"/>
              </w:rPr>
            </w:pPr>
            <w:r>
              <w:rPr>
                <w:rFonts w:hint="eastAsia" w:ascii="仿宋" w:hAnsi="仿宋" w:eastAsia="仿宋" w:cs="仿宋"/>
                <w:b w:val="0"/>
                <w:bCs w:val="0"/>
                <w:i w:val="0"/>
                <w:color w:val="000000"/>
                <w:kern w:val="0"/>
                <w:sz w:val="28"/>
                <w:szCs w:val="28"/>
                <w:highlight w:val="none"/>
                <w:u w:val="none"/>
                <w:lang w:val="en-US" w:eastAsia="zh-CN" w:bidi="ar"/>
              </w:rPr>
              <w:t>投资者关系管理渠道需要由熟悉情况的专人负责，保持畅通、友好沟通，当发生变更时及时更新。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tblHeader/>
        </w:trPr>
        <w:tc>
          <w:tcPr>
            <w:tcW w:w="85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仿宋" w:hAnsi="仿宋" w:eastAsia="仿宋" w:cs="仿宋"/>
                <w:b w:val="0"/>
                <w:bCs w:val="0"/>
                <w:i w:val="0"/>
                <w:color w:val="000000"/>
                <w:kern w:val="0"/>
                <w:sz w:val="28"/>
                <w:szCs w:val="28"/>
                <w:highlight w:val="none"/>
                <w:u w:val="none"/>
                <w:lang w:val="en-US" w:eastAsia="zh-CN" w:bidi="ar"/>
              </w:rPr>
            </w:pPr>
            <w:r>
              <w:rPr>
                <w:rFonts w:hint="eastAsia" w:ascii="仿宋" w:hAnsi="仿宋" w:eastAsia="仿宋" w:cs="仿宋"/>
                <w:b w:val="0"/>
                <w:bCs w:val="0"/>
                <w:i w:val="0"/>
                <w:color w:val="000000"/>
                <w:kern w:val="0"/>
                <w:sz w:val="28"/>
                <w:szCs w:val="28"/>
                <w:highlight w:val="none"/>
                <w:u w:val="none"/>
                <w:lang w:val="en-US" w:eastAsia="zh-CN" w:bidi="ar"/>
              </w:rPr>
              <w:t>8</w:t>
            </w:r>
          </w:p>
        </w:tc>
        <w:tc>
          <w:tcPr>
            <w:tcW w:w="747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仿宋" w:hAnsi="仿宋" w:eastAsia="仿宋" w:cs="仿宋"/>
                <w:b w:val="0"/>
                <w:bCs w:val="0"/>
                <w:i w:val="0"/>
                <w:color w:val="000000"/>
                <w:sz w:val="28"/>
                <w:szCs w:val="28"/>
                <w:highlight w:val="none"/>
                <w:u w:val="none"/>
              </w:rPr>
            </w:pPr>
            <w:r>
              <w:rPr>
                <w:rFonts w:hint="eastAsia" w:ascii="仿宋" w:hAnsi="仿宋" w:eastAsia="仿宋" w:cs="仿宋"/>
                <w:b w:val="0"/>
                <w:bCs w:val="0"/>
                <w:i w:val="0"/>
                <w:color w:val="000000"/>
                <w:kern w:val="0"/>
                <w:sz w:val="28"/>
                <w:szCs w:val="28"/>
                <w:highlight w:val="none"/>
                <w:u w:val="none"/>
                <w:lang w:val="en-US" w:eastAsia="zh-CN" w:bidi="ar"/>
              </w:rPr>
              <w:t>公司官网及时更新投资者关系管理活动的各项内容。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tblHeader/>
        </w:trPr>
        <w:tc>
          <w:tcPr>
            <w:tcW w:w="85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val="0"/>
                <w:i w:val="0"/>
                <w:color w:val="000000"/>
                <w:kern w:val="0"/>
                <w:sz w:val="28"/>
                <w:szCs w:val="28"/>
                <w:u w:val="none"/>
                <w:lang w:val="en-US" w:eastAsia="zh-CN" w:bidi="ar"/>
              </w:rPr>
            </w:pPr>
            <w:r>
              <w:rPr>
                <w:rFonts w:hint="eastAsia" w:ascii="仿宋" w:hAnsi="仿宋" w:eastAsia="仿宋" w:cs="仿宋"/>
                <w:b w:val="0"/>
                <w:bCs w:val="0"/>
                <w:i w:val="0"/>
                <w:color w:val="000000"/>
                <w:kern w:val="0"/>
                <w:sz w:val="28"/>
                <w:szCs w:val="28"/>
                <w:u w:val="none"/>
                <w:lang w:val="en-US" w:eastAsia="zh-CN" w:bidi="ar"/>
              </w:rPr>
              <w:t>9</w:t>
            </w:r>
          </w:p>
        </w:tc>
        <w:tc>
          <w:tcPr>
            <w:tcW w:w="747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b w:val="0"/>
                <w:bCs w:val="0"/>
                <w:i w:val="0"/>
                <w:color w:val="000000"/>
                <w:sz w:val="28"/>
                <w:szCs w:val="28"/>
                <w:u w:val="none"/>
                <w:lang w:val="en-US"/>
              </w:rPr>
            </w:pPr>
            <w:r>
              <w:rPr>
                <w:rFonts w:hint="eastAsia" w:ascii="仿宋" w:hAnsi="仿宋" w:eastAsia="仿宋" w:cs="仿宋"/>
                <w:b w:val="0"/>
                <w:bCs w:val="0"/>
                <w:i w:val="0"/>
                <w:color w:val="000000"/>
                <w:kern w:val="0"/>
                <w:sz w:val="28"/>
                <w:szCs w:val="28"/>
                <w:u w:val="none"/>
                <w:lang w:val="en-US" w:eastAsia="zh-CN" w:bidi="ar"/>
              </w:rPr>
              <w:t>按相关规定召开股东大会，效果良好。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tblHeader/>
        </w:trPr>
        <w:tc>
          <w:tcPr>
            <w:tcW w:w="85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仿宋" w:hAnsi="仿宋" w:eastAsia="仿宋" w:cs="仿宋"/>
                <w:b w:val="0"/>
                <w:bCs w:val="0"/>
                <w:i w:val="0"/>
                <w:color w:val="000000"/>
                <w:kern w:val="0"/>
                <w:sz w:val="28"/>
                <w:szCs w:val="28"/>
                <w:u w:val="none"/>
                <w:lang w:val="en-US" w:eastAsia="zh-CN" w:bidi="ar"/>
              </w:rPr>
            </w:pPr>
            <w:r>
              <w:rPr>
                <w:rFonts w:hint="eastAsia" w:ascii="仿宋" w:hAnsi="仿宋" w:eastAsia="仿宋" w:cs="仿宋"/>
                <w:b w:val="0"/>
                <w:bCs w:val="0"/>
                <w:i w:val="0"/>
                <w:color w:val="000000"/>
                <w:kern w:val="0"/>
                <w:sz w:val="28"/>
                <w:szCs w:val="28"/>
                <w:u w:val="none"/>
                <w:lang w:val="en-US" w:eastAsia="zh-CN" w:bidi="ar"/>
              </w:rPr>
              <w:t>10</w:t>
            </w:r>
          </w:p>
        </w:tc>
        <w:tc>
          <w:tcPr>
            <w:tcW w:w="747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b w:val="0"/>
                <w:bCs w:val="0"/>
                <w:i w:val="0"/>
                <w:color w:val="000000"/>
                <w:sz w:val="28"/>
                <w:szCs w:val="28"/>
                <w:u w:val="none"/>
                <w:lang w:val="en-US"/>
              </w:rPr>
            </w:pPr>
            <w:r>
              <w:rPr>
                <w:rFonts w:hint="eastAsia" w:ascii="仿宋" w:hAnsi="仿宋" w:eastAsia="仿宋" w:cs="仿宋"/>
                <w:b w:val="0"/>
                <w:bCs w:val="0"/>
                <w:i w:val="0"/>
                <w:color w:val="000000"/>
                <w:kern w:val="0"/>
                <w:sz w:val="28"/>
                <w:szCs w:val="28"/>
                <w:u w:val="none"/>
                <w:lang w:val="en-US" w:eastAsia="zh-CN" w:bidi="ar"/>
              </w:rPr>
              <w:t>按相关规定召开业绩说明会，与投资者沟通效果好。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tblHeader/>
        </w:trPr>
        <w:tc>
          <w:tcPr>
            <w:tcW w:w="85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val="0"/>
                <w:i w:val="0"/>
                <w:color w:val="000000"/>
                <w:kern w:val="0"/>
                <w:sz w:val="28"/>
                <w:szCs w:val="28"/>
                <w:u w:val="none"/>
                <w:lang w:val="en-US" w:eastAsia="zh-CN" w:bidi="ar"/>
              </w:rPr>
            </w:pPr>
            <w:r>
              <w:rPr>
                <w:rFonts w:hint="eastAsia" w:ascii="仿宋" w:hAnsi="仿宋" w:eastAsia="仿宋" w:cs="仿宋"/>
                <w:b w:val="0"/>
                <w:bCs w:val="0"/>
                <w:i w:val="0"/>
                <w:color w:val="000000"/>
                <w:kern w:val="0"/>
                <w:sz w:val="28"/>
                <w:szCs w:val="28"/>
                <w:u w:val="none"/>
                <w:lang w:val="en-US" w:eastAsia="zh-CN" w:bidi="ar"/>
              </w:rPr>
              <w:t>11</w:t>
            </w:r>
          </w:p>
        </w:tc>
        <w:tc>
          <w:tcPr>
            <w:tcW w:w="747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b w:val="0"/>
                <w:bCs w:val="0"/>
                <w:i w:val="0"/>
                <w:color w:val="000000"/>
                <w:kern w:val="0"/>
                <w:sz w:val="28"/>
                <w:szCs w:val="28"/>
                <w:u w:val="none"/>
                <w:lang w:val="en-US" w:eastAsia="zh-CN" w:bidi="ar"/>
              </w:rPr>
            </w:pPr>
            <w:r>
              <w:rPr>
                <w:rFonts w:hint="eastAsia" w:ascii="仿宋" w:hAnsi="仿宋" w:eastAsia="仿宋" w:cs="仿宋"/>
                <w:b w:val="0"/>
                <w:bCs w:val="0"/>
                <w:i w:val="0"/>
                <w:color w:val="000000"/>
                <w:kern w:val="0"/>
                <w:sz w:val="28"/>
                <w:szCs w:val="28"/>
                <w:u w:val="none"/>
                <w:lang w:val="en-US" w:eastAsia="zh-CN" w:bidi="ar"/>
              </w:rPr>
              <w:t>按相关规定组织接待现场调研活动。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tblHeader/>
        </w:trPr>
        <w:tc>
          <w:tcPr>
            <w:tcW w:w="85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val="0"/>
                <w:i w:val="0"/>
                <w:color w:val="000000"/>
                <w:kern w:val="0"/>
                <w:sz w:val="28"/>
                <w:szCs w:val="28"/>
                <w:u w:val="none"/>
                <w:lang w:val="en-US" w:eastAsia="zh-CN" w:bidi="ar"/>
              </w:rPr>
            </w:pPr>
            <w:r>
              <w:rPr>
                <w:rFonts w:hint="eastAsia" w:ascii="仿宋" w:hAnsi="仿宋" w:eastAsia="仿宋" w:cs="仿宋"/>
                <w:b w:val="0"/>
                <w:bCs w:val="0"/>
                <w:i w:val="0"/>
                <w:color w:val="000000"/>
                <w:kern w:val="0"/>
                <w:sz w:val="28"/>
                <w:szCs w:val="28"/>
                <w:u w:val="none"/>
                <w:lang w:val="en-US" w:eastAsia="zh-CN" w:bidi="ar"/>
              </w:rPr>
              <w:t>12</w:t>
            </w:r>
          </w:p>
        </w:tc>
        <w:tc>
          <w:tcPr>
            <w:tcW w:w="747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b w:val="0"/>
                <w:bCs w:val="0"/>
                <w:i w:val="0"/>
                <w:color w:val="000000"/>
                <w:sz w:val="28"/>
                <w:szCs w:val="28"/>
                <w:u w:val="none"/>
              </w:rPr>
            </w:pPr>
            <w:r>
              <w:rPr>
                <w:rFonts w:hint="eastAsia" w:ascii="仿宋" w:hAnsi="仿宋" w:eastAsia="仿宋" w:cs="仿宋"/>
                <w:b w:val="0"/>
                <w:bCs w:val="0"/>
                <w:i w:val="0"/>
                <w:color w:val="000000"/>
                <w:kern w:val="0"/>
                <w:sz w:val="28"/>
                <w:szCs w:val="28"/>
                <w:u w:val="none"/>
                <w:lang w:val="en-US" w:eastAsia="zh-CN" w:bidi="ar"/>
              </w:rPr>
              <w:t>投资者关系管理活动基于公开信息，做好法定信息披露工作</w:t>
            </w:r>
            <w:r>
              <w:rPr>
                <w:rFonts w:hint="eastAsia" w:ascii="仿宋" w:hAnsi="仿宋" w:eastAsia="仿宋" w:cs="仿宋"/>
                <w:b w:val="0"/>
                <w:bCs w:val="0"/>
                <w:i w:val="0"/>
                <w:color w:val="000000"/>
                <w:kern w:val="0"/>
                <w:sz w:val="28"/>
                <w:szCs w:val="28"/>
                <w:u w:val="none"/>
                <w:lang w:val="en-US" w:eastAsia="zh-CN" w:bidi="ar"/>
              </w:rPr>
              <w:br w:type="textWrapping"/>
            </w:r>
            <w:r>
              <w:rPr>
                <w:rFonts w:hint="eastAsia" w:ascii="仿宋" w:hAnsi="仿宋" w:eastAsia="仿宋" w:cs="仿宋"/>
                <w:b w:val="0"/>
                <w:bCs w:val="0"/>
                <w:i w:val="0"/>
                <w:color w:val="000000"/>
                <w:kern w:val="0"/>
                <w:sz w:val="28"/>
                <w:szCs w:val="28"/>
                <w:u w:val="none"/>
                <w:lang w:val="en-US" w:eastAsia="zh-CN" w:bidi="ar"/>
              </w:rPr>
              <w:t>，避免内幕交易和未公开的重大事件信息泄露。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tblHeader/>
        </w:trPr>
        <w:tc>
          <w:tcPr>
            <w:tcW w:w="85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val="0"/>
                <w:i w:val="0"/>
                <w:color w:val="000000"/>
                <w:kern w:val="0"/>
                <w:sz w:val="28"/>
                <w:szCs w:val="28"/>
                <w:u w:val="none"/>
                <w:lang w:val="en-US" w:eastAsia="zh-CN" w:bidi="ar"/>
              </w:rPr>
            </w:pPr>
            <w:r>
              <w:rPr>
                <w:rFonts w:hint="eastAsia" w:ascii="仿宋" w:hAnsi="仿宋" w:eastAsia="仿宋" w:cs="仿宋"/>
                <w:b w:val="0"/>
                <w:bCs w:val="0"/>
                <w:i w:val="0"/>
                <w:color w:val="000000"/>
                <w:kern w:val="0"/>
                <w:sz w:val="28"/>
                <w:szCs w:val="28"/>
                <w:u w:val="none"/>
                <w:lang w:val="en-US" w:eastAsia="zh-CN" w:bidi="ar"/>
              </w:rPr>
              <w:t>13</w:t>
            </w:r>
          </w:p>
        </w:tc>
        <w:tc>
          <w:tcPr>
            <w:tcW w:w="747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b w:val="0"/>
                <w:bCs w:val="0"/>
                <w:i w:val="0"/>
                <w:color w:val="000000"/>
                <w:kern w:val="0"/>
                <w:sz w:val="28"/>
                <w:szCs w:val="28"/>
                <w:u w:val="none"/>
                <w:lang w:val="en-US" w:eastAsia="zh-CN" w:bidi="ar"/>
              </w:rPr>
            </w:pPr>
            <w:r>
              <w:rPr>
                <w:rFonts w:hint="eastAsia" w:ascii="仿宋" w:hAnsi="仿宋" w:eastAsia="仿宋" w:cs="仿宋"/>
                <w:b w:val="0"/>
                <w:bCs w:val="0"/>
                <w:i w:val="0"/>
                <w:color w:val="000000"/>
                <w:kern w:val="0"/>
                <w:sz w:val="28"/>
                <w:szCs w:val="28"/>
                <w:u w:val="none"/>
                <w:lang w:val="en-US" w:eastAsia="zh-CN" w:bidi="ar"/>
              </w:rPr>
              <w:t>注重中小投资者提名权及表决权保障。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tblHeader/>
        </w:trPr>
        <w:tc>
          <w:tcPr>
            <w:tcW w:w="85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val="0"/>
                <w:i w:val="0"/>
                <w:color w:val="000000"/>
                <w:kern w:val="0"/>
                <w:sz w:val="28"/>
                <w:szCs w:val="28"/>
                <w:u w:val="none"/>
                <w:lang w:val="en-US" w:eastAsia="zh-CN" w:bidi="ar"/>
              </w:rPr>
            </w:pPr>
            <w:r>
              <w:rPr>
                <w:rFonts w:hint="eastAsia" w:ascii="仿宋" w:hAnsi="仿宋" w:eastAsia="仿宋" w:cs="仿宋"/>
                <w:b w:val="0"/>
                <w:bCs w:val="0"/>
                <w:i w:val="0"/>
                <w:color w:val="000000"/>
                <w:kern w:val="0"/>
                <w:sz w:val="28"/>
                <w:szCs w:val="28"/>
                <w:u w:val="none"/>
                <w:lang w:val="en-US" w:eastAsia="zh-CN" w:bidi="ar"/>
              </w:rPr>
              <w:t>14</w:t>
            </w:r>
          </w:p>
        </w:tc>
        <w:tc>
          <w:tcPr>
            <w:tcW w:w="747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b w:val="0"/>
                <w:bCs w:val="0"/>
                <w:i w:val="0"/>
                <w:color w:val="000000"/>
                <w:kern w:val="0"/>
                <w:sz w:val="28"/>
                <w:szCs w:val="28"/>
                <w:u w:val="none"/>
                <w:lang w:val="en-US" w:eastAsia="zh-CN" w:bidi="ar"/>
              </w:rPr>
            </w:pPr>
            <w:r>
              <w:rPr>
                <w:rFonts w:hint="eastAsia" w:ascii="仿宋" w:hAnsi="仿宋" w:eastAsia="仿宋" w:cs="仿宋"/>
                <w:b w:val="0"/>
                <w:bCs w:val="0"/>
                <w:i w:val="0"/>
                <w:color w:val="000000"/>
                <w:kern w:val="0"/>
                <w:sz w:val="28"/>
                <w:szCs w:val="28"/>
                <w:u w:val="none"/>
                <w:lang w:val="en-US" w:eastAsia="zh-CN" w:bidi="ar"/>
              </w:rPr>
              <w:t>积极履行社会责任、践行</w:t>
            </w:r>
            <w:r>
              <w:rPr>
                <w:rFonts w:hint="default" w:ascii="Times New Roman" w:hAnsi="Times New Roman" w:eastAsia="仿宋" w:cs="Times New Roman"/>
                <w:b w:val="0"/>
                <w:bCs w:val="0"/>
                <w:i w:val="0"/>
                <w:color w:val="000000"/>
                <w:kern w:val="0"/>
                <w:sz w:val="28"/>
                <w:szCs w:val="28"/>
                <w:u w:val="none"/>
                <w:lang w:val="en-US" w:eastAsia="zh-CN" w:bidi="ar"/>
              </w:rPr>
              <w:t>ESG</w:t>
            </w:r>
            <w:r>
              <w:rPr>
                <w:rFonts w:hint="eastAsia" w:ascii="仿宋" w:hAnsi="仿宋" w:eastAsia="仿宋" w:cs="仿宋"/>
                <w:b w:val="0"/>
                <w:bCs w:val="0"/>
                <w:i w:val="0"/>
                <w:color w:val="000000"/>
                <w:kern w:val="0"/>
                <w:sz w:val="28"/>
                <w:szCs w:val="28"/>
                <w:u w:val="none"/>
                <w:lang w:val="en-US" w:eastAsia="zh-CN" w:bidi="ar"/>
              </w:rPr>
              <w:t>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tblHeader/>
        </w:trPr>
        <w:tc>
          <w:tcPr>
            <w:tcW w:w="85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val="0"/>
                <w:i w:val="0"/>
                <w:color w:val="000000"/>
                <w:kern w:val="0"/>
                <w:sz w:val="28"/>
                <w:szCs w:val="28"/>
                <w:u w:val="none"/>
                <w:lang w:val="en-US" w:eastAsia="zh-CN" w:bidi="ar"/>
              </w:rPr>
            </w:pPr>
            <w:r>
              <w:rPr>
                <w:rFonts w:hint="eastAsia" w:ascii="仿宋" w:hAnsi="仿宋" w:eastAsia="仿宋" w:cs="仿宋"/>
                <w:b w:val="0"/>
                <w:bCs w:val="0"/>
                <w:i w:val="0"/>
                <w:color w:val="000000"/>
                <w:kern w:val="0"/>
                <w:sz w:val="28"/>
                <w:szCs w:val="28"/>
                <w:u w:val="none"/>
                <w:lang w:val="en-US" w:eastAsia="zh-CN" w:bidi="ar"/>
              </w:rPr>
              <w:t>15</w:t>
            </w:r>
          </w:p>
        </w:tc>
        <w:tc>
          <w:tcPr>
            <w:tcW w:w="747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b w:val="0"/>
                <w:bCs w:val="0"/>
                <w:i w:val="0"/>
                <w:color w:val="000000"/>
                <w:sz w:val="28"/>
                <w:szCs w:val="28"/>
                <w:u w:val="none"/>
                <w:lang w:val="en-US"/>
              </w:rPr>
            </w:pPr>
            <w:r>
              <w:rPr>
                <w:rFonts w:hint="eastAsia" w:ascii="仿宋" w:hAnsi="仿宋" w:eastAsia="仿宋" w:cs="仿宋"/>
                <w:b w:val="0"/>
                <w:bCs w:val="0"/>
                <w:i w:val="0"/>
                <w:color w:val="000000"/>
                <w:kern w:val="0"/>
                <w:sz w:val="28"/>
                <w:szCs w:val="28"/>
                <w:u w:val="none"/>
                <w:lang w:val="en-US" w:eastAsia="zh-CN" w:bidi="ar"/>
              </w:rPr>
              <w:t>提升经营水平、主动关注投资者关系管理结果。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tblHeader/>
        </w:trPr>
        <w:tc>
          <w:tcPr>
            <w:tcW w:w="85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val="0"/>
                <w:i w:val="0"/>
                <w:color w:val="000000"/>
                <w:kern w:val="0"/>
                <w:sz w:val="28"/>
                <w:szCs w:val="28"/>
                <w:u w:val="none"/>
                <w:lang w:val="en-US" w:eastAsia="zh-CN" w:bidi="ar"/>
              </w:rPr>
            </w:pPr>
            <w:r>
              <w:rPr>
                <w:rFonts w:hint="eastAsia" w:ascii="仿宋" w:hAnsi="仿宋" w:eastAsia="仿宋" w:cs="仿宋"/>
                <w:b w:val="0"/>
                <w:bCs w:val="0"/>
                <w:i w:val="0"/>
                <w:color w:val="000000"/>
                <w:kern w:val="0"/>
                <w:sz w:val="28"/>
                <w:szCs w:val="28"/>
                <w:u w:val="none"/>
                <w:lang w:val="en-US" w:eastAsia="zh-CN" w:bidi="ar"/>
              </w:rPr>
              <w:t>16</w:t>
            </w:r>
          </w:p>
        </w:tc>
        <w:tc>
          <w:tcPr>
            <w:tcW w:w="747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b w:val="0"/>
                <w:bCs w:val="0"/>
                <w:i w:val="0"/>
                <w:color w:val="000000"/>
                <w:sz w:val="28"/>
                <w:szCs w:val="28"/>
                <w:u w:val="none"/>
              </w:rPr>
            </w:pPr>
            <w:r>
              <w:rPr>
                <w:rFonts w:hint="eastAsia" w:ascii="仿宋" w:hAnsi="仿宋" w:eastAsia="仿宋" w:cs="仿宋"/>
                <w:b w:val="0"/>
                <w:bCs w:val="0"/>
                <w:i w:val="0"/>
                <w:color w:val="000000"/>
                <w:kern w:val="0"/>
                <w:sz w:val="28"/>
                <w:szCs w:val="28"/>
                <w:u w:val="none"/>
                <w:lang w:val="en-US" w:eastAsia="zh-CN" w:bidi="ar"/>
              </w:rPr>
              <w:t>主动提升经营水平、以良好的回报回馈投资者。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3" w:hRule="atLeast"/>
          <w:tblHeader/>
        </w:trPr>
        <w:tc>
          <w:tcPr>
            <w:tcW w:w="85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仿宋" w:hAnsi="仿宋" w:eastAsia="仿宋" w:cs="仿宋"/>
                <w:b w:val="0"/>
                <w:bCs w:val="0"/>
                <w:i w:val="0"/>
                <w:color w:val="000000"/>
                <w:kern w:val="0"/>
                <w:sz w:val="28"/>
                <w:szCs w:val="28"/>
                <w:u w:val="none"/>
                <w:lang w:val="en-US" w:eastAsia="zh-CN" w:bidi="ar"/>
              </w:rPr>
            </w:pPr>
            <w:r>
              <w:rPr>
                <w:rFonts w:hint="eastAsia" w:ascii="仿宋" w:hAnsi="仿宋" w:eastAsia="仿宋" w:cs="仿宋"/>
                <w:b w:val="0"/>
                <w:bCs w:val="0"/>
                <w:i w:val="0"/>
                <w:color w:val="000000"/>
                <w:kern w:val="0"/>
                <w:sz w:val="28"/>
                <w:szCs w:val="28"/>
                <w:u w:val="none"/>
                <w:lang w:val="en-US" w:eastAsia="zh-CN" w:bidi="ar"/>
              </w:rPr>
              <w:t>17</w:t>
            </w:r>
          </w:p>
        </w:tc>
        <w:tc>
          <w:tcPr>
            <w:tcW w:w="747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仿宋" w:hAnsi="仿宋" w:eastAsia="仿宋" w:cs="仿宋"/>
                <w:b w:val="0"/>
                <w:bCs w:val="0"/>
                <w:i w:val="0"/>
                <w:color w:val="000000"/>
                <w:sz w:val="28"/>
                <w:szCs w:val="28"/>
                <w:u w:val="none"/>
              </w:rPr>
            </w:pPr>
            <w:r>
              <w:rPr>
                <w:rFonts w:hint="eastAsia" w:ascii="仿宋" w:hAnsi="仿宋" w:eastAsia="仿宋" w:cs="仿宋"/>
                <w:b w:val="0"/>
                <w:bCs w:val="0"/>
                <w:i w:val="0"/>
                <w:color w:val="000000"/>
                <w:kern w:val="0"/>
                <w:sz w:val="28"/>
                <w:szCs w:val="28"/>
                <w:u w:val="none"/>
                <w:lang w:val="en-US" w:eastAsia="zh-CN" w:bidi="ar"/>
              </w:rPr>
              <w:t>保护投资者依法行使股东权利、解决投资者诉求，并注重中小投资者合法权益保护。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tblHeader/>
        </w:trPr>
        <w:tc>
          <w:tcPr>
            <w:tcW w:w="85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val="0"/>
                <w:i w:val="0"/>
                <w:color w:val="000000"/>
                <w:kern w:val="0"/>
                <w:sz w:val="28"/>
                <w:szCs w:val="28"/>
                <w:u w:val="none"/>
                <w:lang w:val="en-US" w:eastAsia="zh-CN" w:bidi="ar"/>
              </w:rPr>
            </w:pPr>
            <w:r>
              <w:rPr>
                <w:rFonts w:hint="eastAsia" w:ascii="仿宋" w:hAnsi="仿宋" w:eastAsia="仿宋" w:cs="仿宋"/>
                <w:b w:val="0"/>
                <w:bCs w:val="0"/>
                <w:i w:val="0"/>
                <w:color w:val="000000"/>
                <w:kern w:val="0"/>
                <w:sz w:val="28"/>
                <w:szCs w:val="28"/>
                <w:u w:val="none"/>
                <w:lang w:val="en-US" w:eastAsia="zh-CN" w:bidi="ar"/>
              </w:rPr>
              <w:t>18</w:t>
            </w:r>
          </w:p>
        </w:tc>
        <w:tc>
          <w:tcPr>
            <w:tcW w:w="747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b w:val="0"/>
                <w:bCs w:val="0"/>
                <w:i w:val="0"/>
                <w:color w:val="000000"/>
                <w:sz w:val="28"/>
                <w:szCs w:val="28"/>
                <w:u w:val="none"/>
              </w:rPr>
            </w:pPr>
            <w:r>
              <w:rPr>
                <w:rFonts w:hint="eastAsia" w:ascii="仿宋" w:hAnsi="仿宋" w:eastAsia="仿宋" w:cs="仿宋"/>
                <w:b w:val="0"/>
                <w:bCs w:val="0"/>
                <w:i w:val="0"/>
                <w:color w:val="000000"/>
                <w:kern w:val="0"/>
                <w:sz w:val="28"/>
                <w:szCs w:val="28"/>
                <w:u w:val="none"/>
                <w:lang w:val="en-US" w:eastAsia="zh-CN" w:bidi="ar"/>
              </w:rPr>
              <w:t>按相关规定召开投资者说明会。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tblHeader/>
        </w:trPr>
        <w:tc>
          <w:tcPr>
            <w:tcW w:w="85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val="0"/>
              <w:suppressLineNumbers w:val="0"/>
              <w:jc w:val="both"/>
              <w:textAlignment w:val="auto"/>
              <w:rPr>
                <w:rFonts w:hint="eastAsia" w:ascii="仿宋" w:hAnsi="仿宋" w:eastAsia="仿宋" w:cs="仿宋"/>
                <w:b/>
                <w:bCs/>
                <w:i w:val="0"/>
                <w:color w:val="000000"/>
                <w:kern w:val="0"/>
                <w:sz w:val="28"/>
                <w:szCs w:val="28"/>
                <w:u w:val="none"/>
                <w:shd w:val="clear" w:color="auto" w:fill="auto"/>
                <w:lang w:val="en-US" w:eastAsia="zh-CN" w:bidi="ar"/>
              </w:rPr>
            </w:pPr>
          </w:p>
        </w:tc>
        <w:tc>
          <w:tcPr>
            <w:tcW w:w="7479" w:type="dxa"/>
            <w:tcBorders>
              <w:top w:val="single" w:color="000000" w:sz="8" w:space="0"/>
              <w:left w:val="single" w:color="000000" w:sz="8" w:space="0"/>
              <w:bottom w:val="single" w:color="000000" w:sz="8" w:space="0"/>
              <w:right w:val="single" w:color="000000" w:sz="8" w:space="0"/>
            </w:tcBorders>
            <w:shd w:val="clear" w:color="auto" w:fill="EDEDED"/>
            <w:tcMar>
              <w:top w:w="15" w:type="dxa"/>
              <w:left w:w="15" w:type="dxa"/>
              <w:right w:w="15" w:type="dxa"/>
            </w:tcMar>
            <w:vAlign w:val="center"/>
          </w:tcPr>
          <w:p>
            <w:pPr>
              <w:keepNext w:val="0"/>
              <w:keepLines w:val="0"/>
              <w:widowControl w:val="0"/>
              <w:suppressLineNumbers w:val="0"/>
              <w:jc w:val="both"/>
              <w:textAlignment w:val="auto"/>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b/>
                <w:bCs/>
                <w:i w:val="0"/>
                <w:color w:val="000000"/>
                <w:kern w:val="0"/>
                <w:sz w:val="28"/>
                <w:szCs w:val="28"/>
                <w:u w:val="none"/>
                <w:shd w:val="clear" w:color="auto" w:fill="auto"/>
                <w:lang w:val="en-US" w:eastAsia="zh-CN" w:bidi="ar"/>
              </w:rPr>
              <w:t>三、负面指标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tblHeader/>
        </w:trPr>
        <w:tc>
          <w:tcPr>
            <w:tcW w:w="85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747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kern w:val="0"/>
                <w:sz w:val="28"/>
                <w:szCs w:val="28"/>
                <w:u w:val="none"/>
                <w:lang w:val="en-US" w:eastAsia="zh-CN" w:bidi="ar"/>
              </w:rPr>
              <w:t>投资者关系管理活动中的重大负面行为。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tblHeader/>
        </w:trPr>
        <w:tc>
          <w:tcPr>
            <w:tcW w:w="85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747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kern w:val="0"/>
                <w:sz w:val="28"/>
                <w:szCs w:val="28"/>
                <w:u w:val="none"/>
                <w:lang w:val="en-US" w:eastAsia="zh-CN" w:bidi="ar"/>
              </w:rPr>
              <w:t>投资者关系管理活动中的不当行为。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tblHeader/>
        </w:trPr>
        <w:tc>
          <w:tcPr>
            <w:tcW w:w="85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w:t>
            </w:r>
          </w:p>
        </w:tc>
        <w:tc>
          <w:tcPr>
            <w:tcW w:w="747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kern w:val="0"/>
                <w:sz w:val="28"/>
                <w:szCs w:val="28"/>
                <w:u w:val="none"/>
                <w:lang w:val="en-US" w:eastAsia="zh-CN" w:bidi="ar"/>
              </w:rPr>
              <w:t>在评价期内，上市公司存在因环境保护、安全生产、产品质量、税务等受到监管处罚情况。</w:t>
            </w:r>
          </w:p>
        </w:tc>
      </w:tr>
    </w:tbl>
    <w:p>
      <w:pPr>
        <w:ind w:right="0"/>
        <w:rPr>
          <w:rFonts w:hint="eastAsia" w:ascii="仿宋" w:hAnsi="仿宋" w:eastAsia="仿宋"/>
          <w:sz w:val="32"/>
          <w:szCs w:val="32"/>
        </w:rPr>
      </w:pPr>
    </w:p>
    <w:p>
      <w:pPr>
        <w:ind w:right="640"/>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32"/>
          <w:szCs w:val="32"/>
          <w:lang w:val="en-US" w:eastAsia="zh-CN"/>
        </w:rPr>
        <w:sectPr>
          <w:footerReference r:id="rId3" w:type="default"/>
          <w:pgSz w:w="11906" w:h="16838"/>
          <w:pgMar w:top="1440" w:right="1800" w:bottom="1440" w:left="1800" w:header="851" w:footer="992" w:gutter="0"/>
          <w:pgNumType w:fmt="decimal"/>
          <w:cols w:space="720" w:num="1"/>
          <w:docGrid w:type="lines" w:linePitch="312" w:charSpace="0"/>
        </w:sectPr>
      </w:pPr>
      <w:bookmarkStart w:id="0" w:name="_GoBack"/>
      <w:bookmarkEnd w:id="0"/>
    </w:p>
    <w:p/>
    <w:sectPr>
      <w:footerReference r:id="rId4"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v:imagedata o:title=""/>
              <o:lock v:ext="edit" aspectratio="f"/>
              <v:textbox inset="0mm,0mm,0mm,0mm" style="mso-fit-shape-to-text:t;">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path/>
              <v:fill on="f" focussize="0,0"/>
              <v:stroke on="f" weight="0.5pt"/>
              <v:imagedata o:title=""/>
              <o:lock v:ext="edit" aspectratio="f"/>
              <v:textbox inset="0mm,0mm,0mm,0mm" style="mso-fit-shape-to-text:t;">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2E3ADE"/>
    <w:rsid w:val="602E3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2023-09-21T01:36:00Z</dcterms:created>
  <dc:creator>Administrator</dc:creator>
  <cp:lastModifiedBy>Administrator</cp:lastModifiedBy>
  <dcterms:modified xsi:type="dcterms:W3CDTF">2023-09-21T01:36:53Z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